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A4A" w:rsidRPr="00260A4A" w:rsidRDefault="00260A4A" w:rsidP="00260A4A">
      <w:pPr>
        <w:shd w:val="clear" w:color="auto" w:fill="FFFFFF"/>
        <w:spacing w:after="0" w:line="240" w:lineRule="auto"/>
        <w:jc w:val="center"/>
        <w:outlineLvl w:val="0"/>
        <w:rPr>
          <w:rFonts w:ascii="Tahoma" w:eastAsia="Times New Roman" w:hAnsi="Tahoma" w:cs="Tahoma"/>
          <w:b/>
          <w:bCs/>
          <w:color w:val="055BC2"/>
          <w:kern w:val="36"/>
          <w:sz w:val="27"/>
          <w:szCs w:val="27"/>
        </w:rPr>
      </w:pPr>
      <w:r w:rsidRPr="00260A4A">
        <w:rPr>
          <w:rFonts w:ascii="Tahoma" w:eastAsia="Times New Roman" w:hAnsi="Tahoma" w:cs="Tahoma"/>
          <w:b/>
          <w:bCs/>
          <w:color w:val="055BC2"/>
          <w:kern w:val="36"/>
          <w:sz w:val="27"/>
          <w:szCs w:val="27"/>
        </w:rPr>
        <w:t>О гражданско-правовой ответственности</w:t>
      </w:r>
    </w:p>
    <w:p w:rsidR="00260A4A" w:rsidRPr="00260A4A" w:rsidRDefault="00260A4A" w:rsidP="00260A4A">
      <w:pPr>
        <w:spacing w:after="0" w:line="240" w:lineRule="auto"/>
        <w:rPr>
          <w:rFonts w:ascii="Times New Roman" w:eastAsia="Times New Roman" w:hAnsi="Times New Roman" w:cs="Times New Roman"/>
          <w:sz w:val="24"/>
          <w:szCs w:val="24"/>
        </w:rPr>
      </w:pPr>
      <w:r w:rsidRPr="00260A4A">
        <w:rPr>
          <w:rFonts w:ascii="Tahoma" w:eastAsia="Times New Roman" w:hAnsi="Tahoma" w:cs="Tahoma"/>
          <w:color w:val="000000"/>
          <w:sz w:val="21"/>
          <w:szCs w:val="21"/>
        </w:rPr>
        <w:br/>
      </w:r>
    </w:p>
    <w:p w:rsidR="00260A4A" w:rsidRPr="00260A4A" w:rsidRDefault="00260A4A" w:rsidP="00260A4A">
      <w:pPr>
        <w:shd w:val="clear" w:color="auto" w:fill="FFFFFF"/>
        <w:spacing w:after="0" w:line="240" w:lineRule="auto"/>
        <w:jc w:val="center"/>
        <w:outlineLvl w:val="0"/>
        <w:rPr>
          <w:rFonts w:ascii="Tahoma" w:eastAsia="Times New Roman" w:hAnsi="Tahoma" w:cs="Tahoma"/>
          <w:b/>
          <w:bCs/>
          <w:color w:val="055BC2"/>
          <w:kern w:val="36"/>
          <w:sz w:val="27"/>
          <w:szCs w:val="27"/>
        </w:rPr>
      </w:pPr>
      <w:r w:rsidRPr="00260A4A">
        <w:rPr>
          <w:rFonts w:ascii="Tahoma" w:eastAsia="Times New Roman" w:hAnsi="Tahoma" w:cs="Tahoma"/>
          <w:b/>
          <w:bCs/>
          <w:color w:val="055BC2"/>
          <w:kern w:val="36"/>
          <w:sz w:val="27"/>
          <w:szCs w:val="27"/>
        </w:rPr>
        <w:t>«коммерческой организации» в публичном договоре</w:t>
      </w:r>
    </w:p>
    <w:p w:rsidR="00260A4A" w:rsidRPr="00260A4A" w:rsidRDefault="00260A4A" w:rsidP="00260A4A">
      <w:pPr>
        <w:shd w:val="clear" w:color="auto" w:fill="FFFFFF"/>
        <w:spacing w:after="0" w:line="240" w:lineRule="auto"/>
        <w:jc w:val="center"/>
        <w:outlineLvl w:val="0"/>
        <w:rPr>
          <w:rFonts w:ascii="Tahoma" w:eastAsia="Times New Roman" w:hAnsi="Tahoma" w:cs="Tahoma"/>
          <w:b/>
          <w:bCs/>
          <w:color w:val="055BC2"/>
          <w:kern w:val="36"/>
          <w:sz w:val="27"/>
          <w:szCs w:val="27"/>
        </w:rPr>
      </w:pPr>
      <w:r w:rsidRPr="00260A4A">
        <w:rPr>
          <w:rFonts w:ascii="Tahoma" w:eastAsia="Times New Roman" w:hAnsi="Tahoma" w:cs="Tahoma"/>
          <w:b/>
          <w:bCs/>
          <w:color w:val="055BC2"/>
          <w:kern w:val="36"/>
          <w:sz w:val="27"/>
          <w:szCs w:val="27"/>
        </w:rPr>
        <w:t> </w:t>
      </w:r>
    </w:p>
    <w:p w:rsidR="00260A4A" w:rsidRPr="00260A4A" w:rsidRDefault="00260A4A" w:rsidP="00260A4A">
      <w:pPr>
        <w:shd w:val="clear" w:color="auto" w:fill="FFFFFF"/>
        <w:spacing w:after="0" w:line="240" w:lineRule="atLeast"/>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i/>
          <w:iCs/>
          <w:color w:val="000000"/>
          <w:sz w:val="21"/>
        </w:rPr>
        <w:t>В публичных договорах, которые изначально рассчитаны на массовое применение, остро встает проблема защиты субъективных гражданских прав неопределенного круга лиц и каждого лица в отдельности, поскольку нарушение договорных обязательств в сфере действия публичного договора наносит вред не только определенному кредитору, но и зачастую всему обществу в целом. Докторант НИИ частного права АО КазГЮУ </w:t>
      </w:r>
      <w:r w:rsidRPr="00260A4A">
        <w:rPr>
          <w:rFonts w:ascii="Times New Roman" w:eastAsia="Times New Roman" w:hAnsi="Times New Roman" w:cs="Times New Roman"/>
          <w:b/>
          <w:bCs/>
          <w:i/>
          <w:iCs/>
          <w:color w:val="000000"/>
          <w:sz w:val="21"/>
        </w:rPr>
        <w:t>С. Идрышева</w:t>
      </w:r>
      <w:r w:rsidRPr="00260A4A">
        <w:rPr>
          <w:rFonts w:ascii="Times New Roman" w:eastAsia="Times New Roman" w:hAnsi="Times New Roman" w:cs="Times New Roman"/>
          <w:i/>
          <w:iCs/>
          <w:color w:val="000000"/>
          <w:sz w:val="21"/>
        </w:rPr>
        <w:t> - подробнее об этом.</w:t>
      </w:r>
    </w:p>
    <w:p w:rsidR="00260A4A" w:rsidRPr="00260A4A" w:rsidRDefault="00260A4A" w:rsidP="00260A4A">
      <w:pPr>
        <w:shd w:val="clear" w:color="auto" w:fill="FFFFFF"/>
        <w:spacing w:after="0" w:line="240" w:lineRule="atLeast"/>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pacing w:val="-4"/>
          <w:sz w:val="21"/>
          <w:szCs w:val="21"/>
        </w:rPr>
        <w:t> </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rPr>
        <w:t>В соответствии со </w:t>
      </w:r>
      <w:hyperlink r:id="rId4" w:history="1">
        <w:r w:rsidRPr="00260A4A">
          <w:rPr>
            <w:rFonts w:ascii="Times New Roman" w:eastAsia="Times New Roman" w:hAnsi="Times New Roman" w:cs="Times New Roman"/>
            <w:color w:val="800080"/>
            <w:sz w:val="21"/>
            <w:u w:val="single"/>
          </w:rPr>
          <w:t>ст. 350</w:t>
        </w:r>
      </w:hyperlink>
      <w:r w:rsidRPr="00260A4A">
        <w:rPr>
          <w:rFonts w:ascii="Times New Roman" w:eastAsia="Times New Roman" w:hAnsi="Times New Roman" w:cs="Times New Roman"/>
          <w:color w:val="000000"/>
          <w:sz w:val="21"/>
        </w:rPr>
        <w:t> Гражданского кодекса Республики Казахстан должник, не исполнивший или ненадлежаще исполнивший свое обязательство, обязан возместить кредитору вызванные нарушением убытки, под которыми имеются в виду как реальный ущерб, так и упущенная выгода (</w:t>
      </w:r>
      <w:hyperlink r:id="rId5" w:history="1">
        <w:r w:rsidRPr="00260A4A">
          <w:rPr>
            <w:rFonts w:ascii="Times New Roman" w:eastAsia="Times New Roman" w:hAnsi="Times New Roman" w:cs="Times New Roman"/>
            <w:color w:val="800080"/>
            <w:sz w:val="21"/>
            <w:u w:val="single"/>
          </w:rPr>
          <w:t>ст. 9</w:t>
        </w:r>
      </w:hyperlink>
      <w:r w:rsidRPr="00260A4A">
        <w:rPr>
          <w:rFonts w:ascii="Times New Roman" w:eastAsia="Times New Roman" w:hAnsi="Times New Roman" w:cs="Times New Roman"/>
          <w:color w:val="000000"/>
          <w:sz w:val="21"/>
        </w:rPr>
        <w:t> ГК РК).</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rPr>
        <w:t>Помимо полной имущественной ответственности в обязательственном праве гражданское право различает также и ограниченную имущественную ответственность, которая предусмотрена </w:t>
      </w:r>
      <w:hyperlink r:id="rId6" w:history="1">
        <w:r w:rsidRPr="00260A4A">
          <w:rPr>
            <w:rFonts w:ascii="Times New Roman" w:eastAsia="Times New Roman" w:hAnsi="Times New Roman" w:cs="Times New Roman"/>
            <w:color w:val="800080"/>
            <w:sz w:val="21"/>
            <w:u w:val="single"/>
          </w:rPr>
          <w:t>ст. 358</w:t>
        </w:r>
      </w:hyperlink>
      <w:r w:rsidRPr="00260A4A">
        <w:rPr>
          <w:rFonts w:ascii="Times New Roman" w:eastAsia="Times New Roman" w:hAnsi="Times New Roman" w:cs="Times New Roman"/>
          <w:color w:val="000000"/>
          <w:sz w:val="21"/>
        </w:rPr>
        <w:t> ГК РК, но принцип ограниченной имущественной ответственности допускается лишь нормами законодательных актов или договором. Однако если размер ответственности для данного вида обязательств или за данное нарушение определен законодательством, то он не может быть уменьшен или исключен договором. Данное запрещение относится к договорам в форме присоединения или к иным договорам, в которых потребителем является физическое лицо (гражданин).</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rPr>
        <w:t>Договорная ответственность возникает из договорных обязательств, принимаемых на себя должником по своей воле, когда каждая сторона ожидает получить эквивалент, иначе бессмысленно вступать в договорные отношения по своей воле, в своем интересе. Ограничение же ответственности доминирующей стороны не оправдывает ожидания эквивалентности другой стороны, нарушает принцип юридического равенства субъектов гражданских правоотношений.</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rPr>
        <w:t>Случаи ограниченной ответственности, предусмотренные законодательством, касаются, в частности, следующих публичных договоров. Так, </w:t>
      </w:r>
      <w:hyperlink r:id="rId7" w:history="1">
        <w:r w:rsidRPr="00260A4A">
          <w:rPr>
            <w:rFonts w:ascii="Times New Roman" w:eastAsia="Times New Roman" w:hAnsi="Times New Roman" w:cs="Times New Roman"/>
            <w:color w:val="800080"/>
            <w:sz w:val="21"/>
            <w:u w:val="single"/>
          </w:rPr>
          <w:t>ст. 491</w:t>
        </w:r>
      </w:hyperlink>
      <w:r w:rsidRPr="00260A4A">
        <w:rPr>
          <w:rFonts w:ascii="Times New Roman" w:eastAsia="Times New Roman" w:hAnsi="Times New Roman" w:cs="Times New Roman"/>
          <w:color w:val="000000"/>
          <w:sz w:val="21"/>
        </w:rPr>
        <w:t> ГК РК предусматривает, что в случаях неисполнения или ненадлежащего исполнения обязательств по договору энергоснабжения энергоснабжающая организация и абонент обязаны возместить только причиненный этим реальный ущерб. </w:t>
      </w:r>
      <w:hyperlink r:id="rId8" w:history="1">
        <w:r w:rsidRPr="00260A4A">
          <w:rPr>
            <w:rFonts w:ascii="Times New Roman" w:eastAsia="Times New Roman" w:hAnsi="Times New Roman" w:cs="Times New Roman"/>
            <w:color w:val="800080"/>
            <w:sz w:val="21"/>
            <w:u w:val="single"/>
          </w:rPr>
          <w:t>Ст. 51</w:t>
        </w:r>
      </w:hyperlink>
      <w:r w:rsidRPr="00260A4A">
        <w:rPr>
          <w:rFonts w:ascii="Times New Roman" w:eastAsia="Times New Roman" w:hAnsi="Times New Roman" w:cs="Times New Roman"/>
          <w:color w:val="000000"/>
          <w:sz w:val="21"/>
        </w:rPr>
        <w:t> Закона о железнодорожном транспорте РК регламентирует, что в случае обнаружения утраты, недостачи или повреждения (порчи) груза перевозчик и грузополучатель совместно определяют размер реального ущерба. </w:t>
      </w:r>
      <w:hyperlink r:id="rId9" w:history="1">
        <w:r w:rsidRPr="00260A4A">
          <w:rPr>
            <w:rFonts w:ascii="Times New Roman" w:eastAsia="Times New Roman" w:hAnsi="Times New Roman" w:cs="Times New Roman"/>
            <w:color w:val="800080"/>
            <w:sz w:val="21"/>
            <w:u w:val="single"/>
          </w:rPr>
          <w:t>Статья 19</w:t>
        </w:r>
      </w:hyperlink>
      <w:r w:rsidRPr="00260A4A">
        <w:rPr>
          <w:rFonts w:ascii="Times New Roman" w:eastAsia="Times New Roman" w:hAnsi="Times New Roman" w:cs="Times New Roman"/>
          <w:color w:val="000000"/>
          <w:sz w:val="21"/>
        </w:rPr>
        <w:t> Закона об электроэнергетике предоставляет потребителям электрической и тепловой энергии право требовать от энергопроизводящей, энергопередающей и энергоснабжающей организаций возмещения реального ущерба, причиненного недопоставкой или поставкой некачественной электрической и тепловой энергии, в соответствии с условиями заключенных договоров. </w:t>
      </w:r>
      <w:hyperlink r:id="rId10" w:history="1">
        <w:r w:rsidRPr="00260A4A">
          <w:rPr>
            <w:rFonts w:ascii="Times New Roman" w:eastAsia="Times New Roman" w:hAnsi="Times New Roman" w:cs="Times New Roman"/>
            <w:color w:val="800080"/>
            <w:sz w:val="21"/>
            <w:u w:val="single"/>
          </w:rPr>
          <w:t>Пункт 63</w:t>
        </w:r>
      </w:hyperlink>
      <w:r w:rsidRPr="00260A4A">
        <w:rPr>
          <w:rFonts w:ascii="Times New Roman" w:eastAsia="Times New Roman" w:hAnsi="Times New Roman" w:cs="Times New Roman"/>
          <w:color w:val="000000"/>
          <w:sz w:val="21"/>
        </w:rPr>
        <w:t> Правил пользования электрической энергией также определяет, что лицо, виновное в снижении качества электроэнергии, возмещает причиненный им субъекту розничного рынка реальный ущерб, если иное не предусмотрено действующим законодательством. </w:t>
      </w:r>
      <w:hyperlink r:id="rId11" w:history="1">
        <w:r w:rsidRPr="00260A4A">
          <w:rPr>
            <w:rFonts w:ascii="Times New Roman" w:eastAsia="Times New Roman" w:hAnsi="Times New Roman" w:cs="Times New Roman"/>
            <w:color w:val="800080"/>
            <w:sz w:val="21"/>
            <w:u w:val="single"/>
          </w:rPr>
          <w:t>Пункт 79</w:t>
        </w:r>
      </w:hyperlink>
      <w:r w:rsidRPr="00260A4A">
        <w:rPr>
          <w:rFonts w:ascii="Times New Roman" w:eastAsia="Times New Roman" w:hAnsi="Times New Roman" w:cs="Times New Roman"/>
          <w:color w:val="000000"/>
          <w:sz w:val="21"/>
        </w:rPr>
        <w:t> Правил перевозки пассажиров, багажа и грузов на воздушных линиях РК также гласит, что при задержке перевозки пассажира по вине перевозчика последний уплачивает пассажиру штраф в размере 3-х процентов от стоимости билета за каждый час задержки, помимо возмещения убытков пассажиру, если последние имели место, однако сумма взысканного штрафа не может превышать стоимости приобретенного билета и т.д.</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rPr>
        <w:t>Обратим внимание, что во всех приведенных нормах обязанной стороной являются предприниматели, на которых лежит бремя исполнения основной обязанности по публичному договору. При этом законодатель «забывает» о принципе повышенной ответственности предпринимателей в имущественных отношениях, а тем более о предпринимательском риске, закрепленном в </w:t>
      </w:r>
      <w:hyperlink r:id="rId12" w:history="1">
        <w:r w:rsidRPr="00260A4A">
          <w:rPr>
            <w:rFonts w:ascii="Times New Roman" w:eastAsia="Times New Roman" w:hAnsi="Times New Roman" w:cs="Times New Roman"/>
            <w:color w:val="800080"/>
            <w:sz w:val="21"/>
            <w:u w:val="single"/>
          </w:rPr>
          <w:t>статьях 10</w:t>
        </w:r>
      </w:hyperlink>
      <w:r w:rsidRPr="00260A4A">
        <w:rPr>
          <w:rFonts w:ascii="Times New Roman" w:eastAsia="Times New Roman" w:hAnsi="Times New Roman" w:cs="Times New Roman"/>
          <w:color w:val="000000"/>
          <w:sz w:val="21"/>
        </w:rPr>
        <w:t>, </w:t>
      </w:r>
      <w:hyperlink r:id="rId13" w:history="1">
        <w:r w:rsidRPr="00260A4A">
          <w:rPr>
            <w:rFonts w:ascii="Times New Roman" w:eastAsia="Times New Roman" w:hAnsi="Times New Roman" w:cs="Times New Roman"/>
            <w:color w:val="800080"/>
            <w:sz w:val="21"/>
            <w:u w:val="single"/>
          </w:rPr>
          <w:t>п. 2, ст. 359</w:t>
        </w:r>
      </w:hyperlink>
      <w:r w:rsidRPr="00260A4A">
        <w:rPr>
          <w:rFonts w:ascii="Times New Roman" w:eastAsia="Times New Roman" w:hAnsi="Times New Roman" w:cs="Times New Roman"/>
          <w:color w:val="000000"/>
          <w:sz w:val="21"/>
        </w:rPr>
        <w:t> ГК РК и т.д. Норма </w:t>
      </w:r>
      <w:hyperlink r:id="rId14" w:history="1">
        <w:r w:rsidRPr="00260A4A">
          <w:rPr>
            <w:rFonts w:ascii="Times New Roman" w:eastAsia="Times New Roman" w:hAnsi="Times New Roman" w:cs="Times New Roman"/>
            <w:color w:val="800080"/>
            <w:sz w:val="21"/>
            <w:u w:val="single"/>
          </w:rPr>
          <w:t>ст. 10</w:t>
        </w:r>
      </w:hyperlink>
      <w:r w:rsidRPr="00260A4A">
        <w:rPr>
          <w:rFonts w:ascii="Times New Roman" w:eastAsia="Times New Roman" w:hAnsi="Times New Roman" w:cs="Times New Roman"/>
          <w:color w:val="000000"/>
          <w:sz w:val="21"/>
        </w:rPr>
        <w:t> ГК РК «Предпринимательская деятельность осуществляется от имени, за риск и под имущественную ответственность предпринимателя» должна толковаться в том смысле, что имущественная ответственность предпринимателя может быть только полной, имея в виду полное возмещение причиненных им убытков.</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rPr>
        <w:t xml:space="preserve">Способность нести самостоятельную имущественную ответственность в полном объеме является неотъемлемым элементом дееспособности, а следовательно, и правосубъектности. В противном случае принцип юридического равенства субъектов является простой декларацией. Принципы добросовестности, справедливости и разумности предполагают именно такое положение, когда все участники имущественных правоотношений на равных вступают, в частности, в договорные </w:t>
      </w:r>
      <w:r w:rsidRPr="00260A4A">
        <w:rPr>
          <w:rFonts w:ascii="Times New Roman" w:eastAsia="Times New Roman" w:hAnsi="Times New Roman" w:cs="Times New Roman"/>
          <w:color w:val="000000"/>
          <w:sz w:val="21"/>
        </w:rPr>
        <w:lastRenderedPageBreak/>
        <w:t>правоотношения. Положение, когда одна сторона заведомо несет полную имущественную ответственность, а вторая сторона того же правоотношения, причем доминирующая в правоотношении, и к тому же несет ограниченную ответственность, представляется нонсенсом, подлежащим изменению.</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rPr>
        <w:t>Мы поддерживаем Е.В. Горячеву в том, что положения законодательства о повышенной ответственности предпринимателей оказывают организационное воздействие на волю и сознание субъектов обязательства. В случаях неуважения интересов контрагентов, невыполнения условий договора применение норм о повышенной ответственности за нарушение договора способствует соблюдению требований законодательства и договора </w:t>
      </w:r>
      <w:hyperlink r:id="rId15" w:history="1">
        <w:r w:rsidRPr="00260A4A">
          <w:rPr>
            <w:rFonts w:ascii="Times New Roman" w:eastAsia="Times New Roman" w:hAnsi="Times New Roman" w:cs="Times New Roman"/>
            <w:color w:val="800080"/>
            <w:sz w:val="21"/>
            <w:u w:val="single"/>
          </w:rPr>
          <w:t>/1, c. 17-18/</w:t>
        </w:r>
      </w:hyperlink>
      <w:r w:rsidRPr="00260A4A">
        <w:rPr>
          <w:rFonts w:ascii="Times New Roman" w:eastAsia="Times New Roman" w:hAnsi="Times New Roman" w:cs="Times New Roman"/>
          <w:color w:val="000000"/>
          <w:sz w:val="21"/>
        </w:rPr>
        <w:t>. А полная компенсация затрат лица, понесшего потери вследствие нарушения обязательств, способствует стабилизации нормальных общественных отношений /1, c. 4/.</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rPr>
        <w:t>Принцип полной имущественной ответственности должен распространяться в публичных договорах на «обязанную сторону», которая является индивидуальным предпринимателем или коммерческой организацией. В противном случае возникают многочисленные проблемы, когда законодательными актами или договором предусмотрена ограниченная ответственность, а сумма фактических убытков во много крат превышает суммы, которые допускаются к взысканию с должника. Например, в связи с несоблюдением энергоснабжающей организацией режима подачи электроэнергии у абонента «застыл» бетон в бетономешалке, что повлекло порчу не только бетономешалки, из которой практически невозможно выгрузить такой продукт (реальный ущерб), но и самого бетона (упущенная выгода); у пивоваренного завода испортилась партия пива, требующего по технологии непрерывного процесса брожения при строго определенном температурном режиме и т.д. </w:t>
      </w:r>
      <w:hyperlink r:id="rId16" w:history="1">
        <w:r w:rsidRPr="00260A4A">
          <w:rPr>
            <w:rFonts w:ascii="Times New Roman" w:eastAsia="Times New Roman" w:hAnsi="Times New Roman" w:cs="Times New Roman"/>
            <w:color w:val="800080"/>
            <w:sz w:val="21"/>
            <w:u w:val="single"/>
          </w:rPr>
          <w:t>Статья же 491</w:t>
        </w:r>
      </w:hyperlink>
      <w:r w:rsidRPr="00260A4A">
        <w:rPr>
          <w:rFonts w:ascii="Times New Roman" w:eastAsia="Times New Roman" w:hAnsi="Times New Roman" w:cs="Times New Roman"/>
          <w:color w:val="000000"/>
          <w:sz w:val="21"/>
        </w:rPr>
        <w:t> ГК РК предусматривает возмещение только реального ущерба.</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rPr>
        <w:t>Или перевозчик - железная дорога - несвоевременно доставила скоропортящийся груз по месту назначения, в результате чего допустила порчу груза. Грузоотправитель скоропортящегося груза не сможет продать такой груз и понесет убытки как в форме реального ущерба, так и упущенной выгоды. Однако в соответствии со </w:t>
      </w:r>
      <w:hyperlink r:id="rId17" w:history="1">
        <w:r w:rsidRPr="00260A4A">
          <w:rPr>
            <w:rFonts w:ascii="Times New Roman" w:eastAsia="Times New Roman" w:hAnsi="Times New Roman" w:cs="Times New Roman"/>
            <w:color w:val="800080"/>
            <w:sz w:val="21"/>
            <w:u w:val="single"/>
          </w:rPr>
          <w:t>ст. 51</w:t>
        </w:r>
      </w:hyperlink>
      <w:r w:rsidRPr="00260A4A">
        <w:rPr>
          <w:rFonts w:ascii="Times New Roman" w:eastAsia="Times New Roman" w:hAnsi="Times New Roman" w:cs="Times New Roman"/>
          <w:color w:val="000000"/>
          <w:sz w:val="21"/>
        </w:rPr>
        <w:t> Закона «О железнодорожном транспорте» он сможет истребовать только сумму реального ущерба, которая несоизмерима с суммой неполученного дохода. Число таких примеров можно продолжать бесконечно.</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rPr>
        <w:t>Принцип ограниченной ответственности лиц, занимающихся предпринимательской деятельностью, противоречит самому понятию предпринимательства и принципу ответственности предпринимателей за причинение (а не за вину), общеправовому принципу социальной справедливости. Полагаем, что включение в публичный договор условий о возмещении «коммерческой организацией» потребителю только реального ущерба должно рассматриваться как обременительное условие и повлечь возникновение у потребителя права требовать изменения данного условия по названному нами основанию. Но для этого в первую очередь следует внести изменения в действующее законодательство, предусматривающее ограниченную ответственность доминирующей в правоотношении стороны.</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rPr>
        <w:t>Ю.Г. Басин считал, что «жизнь обгоняет прочность правовых запретительных мер», поэтому на того, кто реально принимает решения, должны, в конечном счете, возлагаться все риски и вся ответственность, так как самоуправляемый рынок энергично вырабатывает способы неподчинения этому принципу /2, c. 103/. Применительно к публичным договорам это означает, что в публичных договорах предприниматель должен нести полную, а не ограниченную имущественную ответственность.</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rPr>
        <w:t> </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bookmarkStart w:id="0" w:name="SUB1"/>
      <w:bookmarkEnd w:id="0"/>
      <w:r w:rsidRPr="00260A4A">
        <w:rPr>
          <w:rFonts w:ascii="Times New Roman" w:eastAsia="Times New Roman" w:hAnsi="Times New Roman" w:cs="Times New Roman"/>
          <w:b/>
          <w:bCs/>
          <w:color w:val="000000"/>
          <w:sz w:val="21"/>
        </w:rPr>
        <w:t>Литература</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0"/>
        </w:rPr>
        <w:t> </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0"/>
        </w:rPr>
        <w:t>1. Горячева Е.В. Ответственность предпринимателей за нарушение договорных обязательств. Автореферат дисс. на соискание ученой степени к.ю.н. Алматы, 2004. 28 с.</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0"/>
        </w:rPr>
        <w:t>2. Басин Ю.Г. Правовой статус юридических лиц в предпринимательских отношениях. Субъекты гражданского права. Материалы международной научно-практической конференции. Алматы, 2001. С. 102-103.</w:t>
      </w:r>
    </w:p>
    <w:p w:rsidR="00260A4A" w:rsidRPr="00260A4A" w:rsidRDefault="00260A4A" w:rsidP="00260A4A">
      <w:pPr>
        <w:shd w:val="clear" w:color="auto" w:fill="FFFFFF"/>
        <w:spacing w:after="0" w:line="240" w:lineRule="atLeast"/>
        <w:ind w:firstLine="400"/>
        <w:jc w:val="both"/>
        <w:rPr>
          <w:rFonts w:ascii="Times New Roman" w:eastAsia="Times New Roman" w:hAnsi="Times New Roman" w:cs="Times New Roman"/>
          <w:color w:val="000000"/>
          <w:sz w:val="21"/>
          <w:szCs w:val="21"/>
        </w:rPr>
      </w:pPr>
      <w:r w:rsidRPr="00260A4A">
        <w:rPr>
          <w:rFonts w:ascii="Times New Roman" w:eastAsia="Times New Roman" w:hAnsi="Times New Roman" w:cs="Times New Roman"/>
          <w:color w:val="000000"/>
          <w:sz w:val="21"/>
          <w:szCs w:val="21"/>
        </w:rPr>
        <w:t> </w:t>
      </w:r>
    </w:p>
    <w:p w:rsidR="00A23E39" w:rsidRDefault="00A23E39"/>
    <w:sectPr w:rsidR="00A23E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60A4A"/>
    <w:rsid w:val="00260A4A"/>
    <w:rsid w:val="00A23E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0A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0A4A"/>
    <w:rPr>
      <w:rFonts w:ascii="Times New Roman" w:eastAsia="Times New Roman" w:hAnsi="Times New Roman" w:cs="Times New Roman"/>
      <w:b/>
      <w:bCs/>
      <w:kern w:val="36"/>
      <w:sz w:val="48"/>
      <w:szCs w:val="48"/>
    </w:rPr>
  </w:style>
  <w:style w:type="character" w:customStyle="1" w:styleId="s16">
    <w:name w:val="s16"/>
    <w:basedOn w:val="a0"/>
    <w:rsid w:val="00260A4A"/>
  </w:style>
  <w:style w:type="character" w:customStyle="1" w:styleId="apple-converted-space">
    <w:name w:val="apple-converted-space"/>
    <w:basedOn w:val="a0"/>
    <w:rsid w:val="00260A4A"/>
  </w:style>
  <w:style w:type="character" w:customStyle="1" w:styleId="s0">
    <w:name w:val="s0"/>
    <w:basedOn w:val="a0"/>
    <w:rsid w:val="00260A4A"/>
  </w:style>
  <w:style w:type="character" w:styleId="a3">
    <w:name w:val="Hyperlink"/>
    <w:basedOn w:val="a0"/>
    <w:uiPriority w:val="99"/>
    <w:semiHidden/>
    <w:unhideWhenUsed/>
    <w:rsid w:val="00260A4A"/>
    <w:rPr>
      <w:color w:val="0000FF"/>
      <w:u w:val="single"/>
    </w:rPr>
  </w:style>
  <w:style w:type="character" w:customStyle="1" w:styleId="s18">
    <w:name w:val="s18"/>
    <w:basedOn w:val="a0"/>
    <w:rsid w:val="00260A4A"/>
  </w:style>
</w:styles>
</file>

<file path=word/webSettings.xml><?xml version="1.0" encoding="utf-8"?>
<w:webSettings xmlns:r="http://schemas.openxmlformats.org/officeDocument/2006/relationships" xmlns:w="http://schemas.openxmlformats.org/wordprocessingml/2006/main">
  <w:divs>
    <w:div w:id="72214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275559" TargetMode="External"/><Relationship Id="rId13" Type="http://schemas.openxmlformats.org/officeDocument/2006/relationships/hyperlink" Target="http://online.zakon.kz/Document/?link_id=1000015718"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online.zakon.kz/Document/?link_id=1000166204" TargetMode="External"/><Relationship Id="rId12" Type="http://schemas.openxmlformats.org/officeDocument/2006/relationships/hyperlink" Target="http://online.zakon.kz/Document/?link_id=1000000387" TargetMode="External"/><Relationship Id="rId17" Type="http://schemas.openxmlformats.org/officeDocument/2006/relationships/hyperlink" Target="http://online.zakon.kz/Document/?link_id=1000275559" TargetMode="External"/><Relationship Id="rId2" Type="http://schemas.openxmlformats.org/officeDocument/2006/relationships/settings" Target="settings.xml"/><Relationship Id="rId16" Type="http://schemas.openxmlformats.org/officeDocument/2006/relationships/hyperlink" Target="http://online.zakon.kz/Document/?link_id=1000166204" TargetMode="External"/><Relationship Id="rId1" Type="http://schemas.openxmlformats.org/officeDocument/2006/relationships/styles" Target="styles.xml"/><Relationship Id="rId6" Type="http://schemas.openxmlformats.org/officeDocument/2006/relationships/hyperlink" Target="http://online.zakon.kz/Document/?link_id=1000024380" TargetMode="External"/><Relationship Id="rId11" Type="http://schemas.openxmlformats.org/officeDocument/2006/relationships/hyperlink" Target="http://online.zakon.kz/Document/?link_id=1000585365" TargetMode="External"/><Relationship Id="rId5" Type="http://schemas.openxmlformats.org/officeDocument/2006/relationships/hyperlink" Target="http://online.zakon.kz/Document/?link_id=1000004216" TargetMode="External"/><Relationship Id="rId15" Type="http://schemas.openxmlformats.org/officeDocument/2006/relationships/hyperlink" Target="http://online.zakon.kz/Document/?link_id=1001888782" TargetMode="External"/><Relationship Id="rId10" Type="http://schemas.openxmlformats.org/officeDocument/2006/relationships/hyperlink" Target="http://online.zakon.kz/Document/?link_id=1001851907" TargetMode="External"/><Relationship Id="rId19" Type="http://schemas.openxmlformats.org/officeDocument/2006/relationships/theme" Target="theme/theme1.xml"/><Relationship Id="rId4" Type="http://schemas.openxmlformats.org/officeDocument/2006/relationships/hyperlink" Target="http://online.zakon.kz/Document/?link_id=1000004036" TargetMode="External"/><Relationship Id="rId9" Type="http://schemas.openxmlformats.org/officeDocument/2006/relationships/hyperlink" Target="http://online.zakon.kz/Document/?link_id=1000777088" TargetMode="External"/><Relationship Id="rId14" Type="http://schemas.openxmlformats.org/officeDocument/2006/relationships/hyperlink" Target="http://online.zakon.kz/Document/?link_id=10000003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1401</Words>
  <Characters>7989</Characters>
  <Application>Microsoft Office Word</Application>
  <DocSecurity>0</DocSecurity>
  <Lines>66</Lines>
  <Paragraphs>18</Paragraphs>
  <ScaleCrop>false</ScaleCrop>
  <Company/>
  <LinksUpToDate>false</LinksUpToDate>
  <CharactersWithSpaces>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2014-04-04T06:13:00Z</dcterms:created>
  <dcterms:modified xsi:type="dcterms:W3CDTF">2014-04-04T06:13:00Z</dcterms:modified>
</cp:coreProperties>
</file>